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36" w:rsidRPr="00217B36" w:rsidRDefault="00217B36" w:rsidP="00217B36">
      <w:pPr>
        <w:pStyle w:val="Heading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17B36">
        <w:rPr>
          <w:rFonts w:asciiTheme="minorHAnsi" w:hAnsiTheme="minorHAnsi" w:cstheme="minorHAnsi"/>
          <w:sz w:val="24"/>
          <w:szCs w:val="24"/>
        </w:rPr>
        <w:t xml:space="preserve">      </w:t>
      </w:r>
      <w:r w:rsidRPr="00217B36">
        <w:rPr>
          <w:rFonts w:asciiTheme="minorHAnsi" w:hAnsiTheme="minorHAnsi" w:cstheme="minorHAnsi"/>
          <w:b/>
          <w:sz w:val="24"/>
          <w:szCs w:val="24"/>
          <w:u w:val="single"/>
        </w:rPr>
        <w:t>Teacher Checklist: Planning a Day Trip Excursion from Bendigo to ACMI, Melbourne</w:t>
      </w:r>
    </w:p>
    <w:p w:rsidR="00566A58" w:rsidRPr="00217B36" w:rsidRDefault="00217B36" w:rsidP="00217B36">
      <w:pPr>
        <w:pStyle w:val="NormalWeb"/>
        <w:rPr>
          <w:rFonts w:asciiTheme="minorHAnsi" w:hAnsiTheme="minorHAnsi" w:cstheme="minorHAnsi"/>
        </w:rPr>
      </w:pPr>
      <w:r w:rsidRPr="00217B36">
        <w:rPr>
          <w:rFonts w:asciiTheme="minorHAnsi" w:hAnsiTheme="minorHAnsi" w:cstheme="minorHAnsi"/>
        </w:rPr>
        <w:t xml:space="preserve"> </w:t>
      </w:r>
      <w:r w:rsidR="00566A58" w:rsidRPr="00217B36">
        <w:rPr>
          <w:rFonts w:asciiTheme="minorHAnsi" w:hAnsiTheme="minorHAnsi" w:cstheme="minorHAnsi"/>
        </w:rPr>
        <w:t>Planning a school excursion to the Australian Centre for the Moving Image (ACMI) in</w:t>
      </w:r>
      <w:r w:rsidRPr="00217B36">
        <w:rPr>
          <w:rFonts w:asciiTheme="minorHAnsi" w:hAnsiTheme="minorHAnsi" w:cstheme="minorHAnsi"/>
        </w:rPr>
        <w:t xml:space="preserve">  </w:t>
      </w:r>
      <w:r w:rsidR="00566A58" w:rsidRPr="00217B36">
        <w:rPr>
          <w:rFonts w:asciiTheme="minorHAnsi" w:hAnsiTheme="minorHAnsi" w:cstheme="minorHAnsi"/>
        </w:rPr>
        <w:t xml:space="preserve"> </w:t>
      </w:r>
      <w:r w:rsidRPr="00217B36">
        <w:rPr>
          <w:rFonts w:asciiTheme="minorHAnsi" w:hAnsiTheme="minorHAnsi" w:cstheme="minorHAnsi"/>
        </w:rPr>
        <w:t xml:space="preserve">   </w:t>
      </w:r>
      <w:r w:rsidR="00566A58" w:rsidRPr="00217B36">
        <w:rPr>
          <w:rFonts w:asciiTheme="minorHAnsi" w:hAnsiTheme="minorHAnsi" w:cstheme="minorHAnsi"/>
        </w:rPr>
        <w:t>Melbourne involves several key steps to ensure student safety, educational value, and compliance with the Department of Education and Training (DET) Victoria guidelines. Below is a comprehensive guide to assist you in organizing a successful excursion.</w:t>
      </w:r>
    </w:p>
    <w:p w:rsidR="00DA1B2F" w:rsidRPr="00217B36" w:rsidRDefault="00217B36" w:rsidP="00DA1B2F">
      <w:pPr>
        <w:rPr>
          <w:rFonts w:cstheme="minorHAnsi"/>
        </w:rPr>
      </w:pPr>
      <w:r w:rsidRPr="00217B36">
        <w:rPr>
          <w:rFonts w:cstheme="minorHAnsi"/>
        </w:rPr>
        <w:t>Use the</w:t>
      </w:r>
      <w:r w:rsidR="00DA1B2F" w:rsidRPr="00217B36">
        <w:rPr>
          <w:rFonts w:cstheme="minorHAnsi"/>
        </w:rPr>
        <w:t xml:space="preserve"> checklist to prepare and execute a successful and policy-compliant school excursion to ACMI. It outlines the ideal timeline for preparation, from early planning to the day before departure.</w:t>
      </w:r>
    </w:p>
    <w:p w:rsidR="00217B36" w:rsidRPr="00217B36" w:rsidRDefault="00217B36" w:rsidP="00DA1B2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7871"/>
      </w:tblGrid>
      <w:tr w:rsidR="00217B36" w:rsidRPr="00217B36" w:rsidTr="00217B36">
        <w:tc>
          <w:tcPr>
            <w:tcW w:w="1838" w:type="dxa"/>
          </w:tcPr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>Timeframe</w:t>
            </w:r>
          </w:p>
        </w:tc>
        <w:tc>
          <w:tcPr>
            <w:tcW w:w="7172" w:type="dxa"/>
          </w:tcPr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>Key Actions</w:t>
            </w:r>
          </w:p>
        </w:tc>
      </w:tr>
      <w:tr w:rsidR="00217B36" w:rsidRPr="00217B36" w:rsidTr="00217B36">
        <w:tc>
          <w:tcPr>
            <w:tcW w:w="1838" w:type="dxa"/>
          </w:tcPr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>6–8 weeks before</w:t>
            </w:r>
          </w:p>
        </w:tc>
        <w:tc>
          <w:tcPr>
            <w:tcW w:w="7172" w:type="dxa"/>
          </w:tcPr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>- Define learning objectives and curriculum links</w:t>
            </w:r>
            <w:r w:rsidRPr="00217B36">
              <w:rPr>
                <w:rFonts w:cstheme="minorHAnsi"/>
                <w:sz w:val="24"/>
                <w:szCs w:val="24"/>
              </w:rPr>
              <w:br/>
              <w:t>- Contact ACMI for available dates and program details</w:t>
            </w:r>
            <w:r w:rsidRPr="00217B36">
              <w:rPr>
                <w:rFonts w:cstheme="minorHAnsi"/>
                <w:sz w:val="24"/>
                <w:szCs w:val="24"/>
              </w:rPr>
              <w:br/>
              <w:t>- Start risk assessment and venue evaluation</w:t>
            </w:r>
            <w:r w:rsidRPr="00217B36">
              <w:rPr>
                <w:rFonts w:cstheme="minorHAnsi"/>
                <w:sz w:val="24"/>
                <w:szCs w:val="24"/>
              </w:rPr>
              <w:br/>
              <w:t>- Research transport options (e.g. chartered bus)</w:t>
            </w:r>
          </w:p>
        </w:tc>
      </w:tr>
      <w:tr w:rsidR="00217B36" w:rsidRPr="00217B36" w:rsidTr="00217B36">
        <w:tc>
          <w:tcPr>
            <w:tcW w:w="1838" w:type="dxa"/>
          </w:tcPr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>4–6 weeks before</w:t>
            </w:r>
          </w:p>
        </w:tc>
        <w:tc>
          <w:tcPr>
            <w:tcW w:w="7172" w:type="dxa"/>
          </w:tcPr>
          <w:p w:rsidR="00217B36" w:rsidRPr="00217B36" w:rsidRDefault="00DA1B2F" w:rsidP="00217B3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>- Submit excursion proposal to school principal</w:t>
            </w:r>
            <w:r w:rsidR="00217B36" w:rsidRPr="00217B36">
              <w:rPr>
                <w:rFonts w:cstheme="minorHAnsi"/>
                <w:sz w:val="24"/>
                <w:szCs w:val="24"/>
              </w:rPr>
              <w:t xml:space="preserve"> </w:t>
            </w:r>
            <w:hyperlink r:id="rId5" w:tgtFrame="_blank" w:history="1">
              <w:r w:rsidR="00217B36"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  <w:r w:rsidR="00217B36"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+3</w:t>
              </w:r>
              <w:r w:rsidR="00217B36"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</w:t>
              </w:r>
              <w:r w:rsidR="00217B36"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u</w:t>
              </w:r>
              <w:r w:rsidR="00217B36"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cation.vic.gov.au</w:t>
              </w:r>
              <w:r w:rsidR="00217B36"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+3</w:t>
              </w:r>
              <w:r w:rsidR="00217B36"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  <w:r w:rsidR="00217B36"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+3</w:t>
              </w:r>
            </w:hyperlink>
            <w:r w:rsidRPr="00217B36">
              <w:rPr>
                <w:rFonts w:cstheme="minorHAnsi"/>
                <w:sz w:val="24"/>
                <w:szCs w:val="24"/>
              </w:rPr>
              <w:br/>
              <w:t>- Register in Student Activity Locator (SAL)</w:t>
            </w:r>
          </w:p>
          <w:p w:rsidR="00217B36" w:rsidRPr="00217B36" w:rsidRDefault="00217B36" w:rsidP="00217B36">
            <w:pPr>
              <w:rPr>
                <w:rFonts w:cstheme="minorHAnsi"/>
                <w:sz w:val="24"/>
                <w:szCs w:val="24"/>
              </w:rPr>
            </w:pPr>
            <w:hyperlink r:id="rId6" w:tgtFrame="_blank" w:history="1">
              <w:r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  <w:r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</w:t>
              </w:r>
              <w:r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1</w:t>
              </w:r>
              <w:r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  <w:r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+1</w:t>
              </w:r>
            </w:hyperlink>
            <w:r w:rsidR="00DA1B2F" w:rsidRPr="00217B36">
              <w:rPr>
                <w:rFonts w:cstheme="minorHAnsi"/>
                <w:sz w:val="24"/>
                <w:szCs w:val="24"/>
              </w:rPr>
              <w:br/>
              <w:t>- Confirm ACMI and transport bookings</w:t>
            </w:r>
            <w:r w:rsidR="00DA1B2F" w:rsidRPr="00217B36">
              <w:rPr>
                <w:rFonts w:cstheme="minorHAnsi"/>
                <w:sz w:val="24"/>
                <w:szCs w:val="24"/>
              </w:rPr>
              <w:br/>
              <w:t>- Send out parent consent and medical forms</w:t>
            </w:r>
            <w:r w:rsidRPr="00217B36">
              <w:rPr>
                <w:rFonts w:cstheme="minorHAnsi"/>
                <w:sz w:val="24"/>
                <w:szCs w:val="24"/>
              </w:rPr>
              <w:t xml:space="preserve"> </w:t>
            </w:r>
            <w:hyperlink r:id="rId7" w:tgtFrame="_blank" w:history="1">
              <w:r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  <w:r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+2</w:t>
              </w:r>
              <w:r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  <w:r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+2</w:t>
              </w:r>
              <w:r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  <w:r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+2</w:t>
              </w:r>
            </w:hyperlink>
          </w:p>
          <w:p w:rsidR="00217B36" w:rsidRPr="00217B36" w:rsidRDefault="00217B36" w:rsidP="00217B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B36" w:rsidRPr="00217B36" w:rsidTr="00217B36">
        <w:tc>
          <w:tcPr>
            <w:tcW w:w="1838" w:type="dxa"/>
          </w:tcPr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>2–3 weeks before</w:t>
            </w:r>
          </w:p>
        </w:tc>
        <w:tc>
          <w:tcPr>
            <w:tcW w:w="7172" w:type="dxa"/>
          </w:tcPr>
          <w:p w:rsidR="00217B36" w:rsidRPr="00217B36" w:rsidRDefault="00DA1B2F" w:rsidP="00217B3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217B36">
              <w:rPr>
                <w:rFonts w:cstheme="minorHAnsi"/>
                <w:sz w:val="24"/>
                <w:szCs w:val="24"/>
              </w:rPr>
              <w:t>Finalise</w:t>
            </w:r>
            <w:proofErr w:type="spellEnd"/>
            <w:r w:rsidRPr="00217B36">
              <w:rPr>
                <w:rFonts w:cstheme="minorHAnsi"/>
                <w:sz w:val="24"/>
                <w:szCs w:val="24"/>
              </w:rPr>
              <w:t xml:space="preserve"> staff and supervision (ensure first aid trained staff present)</w:t>
            </w:r>
          </w:p>
          <w:p w:rsidR="00217B36" w:rsidRPr="00217B36" w:rsidRDefault="00217B36" w:rsidP="00217B3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 xml:space="preserve">Tip: </w:t>
            </w:r>
            <w:r w:rsidRPr="00217B36">
              <w:rPr>
                <w:rFonts w:cstheme="minorHAnsi"/>
                <w:b/>
                <w:bCs/>
                <w:color w:val="011A3C"/>
                <w:sz w:val="24"/>
                <w:szCs w:val="24"/>
              </w:rPr>
              <w:t xml:space="preserve">Day excursions </w:t>
            </w:r>
            <w:r w:rsidRPr="00217B36">
              <w:rPr>
                <w:rFonts w:cstheme="minorHAnsi"/>
                <w:color w:val="011A3C"/>
                <w:sz w:val="24"/>
                <w:szCs w:val="24"/>
              </w:rPr>
              <w:t>1:20 staff-student ratio with a minimum of 2 staff</w:t>
            </w:r>
          </w:p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br/>
              <w:t>- Conduct student pre-excursion briefing</w:t>
            </w:r>
            <w:r w:rsidRPr="00217B36">
              <w:rPr>
                <w:rFonts w:cstheme="minorHAnsi"/>
                <w:sz w:val="24"/>
                <w:szCs w:val="24"/>
              </w:rPr>
              <w:br/>
              <w:t>- Begin collecting signed consent and updated medical forms</w:t>
            </w:r>
          </w:p>
          <w:p w:rsidR="00217B36" w:rsidRPr="00217B36" w:rsidRDefault="00217B36" w:rsidP="00217B36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sz w:val="24"/>
                <w:szCs w:val="24"/>
              </w:rPr>
            </w:pPr>
            <w:r w:rsidRPr="00217B36">
              <w:rPr>
                <w:rFonts w:eastAsia="Times New Roman" w:cstheme="minorHAnsi"/>
                <w:color w:val="011A3C"/>
                <w:sz w:val="24"/>
                <w:szCs w:val="24"/>
              </w:rPr>
              <w:t>Schools may use the </w:t>
            </w:r>
            <w:hyperlink r:id="rId8" w:tgtFrame="_blank" w:history="1">
              <w:r w:rsidRPr="00217B36">
                <w:rPr>
                  <w:rFonts w:eastAsia="Times New Roman" w:cstheme="minorHAnsi"/>
                  <w:color w:val="1855BF"/>
                  <w:sz w:val="24"/>
                  <w:szCs w:val="24"/>
                </w:rPr>
                <w:t>Template parent excursion consent form(DOCX)</w:t>
              </w:r>
            </w:hyperlink>
            <w:r w:rsidRPr="00217B36">
              <w:rPr>
                <w:rFonts w:eastAsia="Times New Roman" w:cstheme="minorHAnsi"/>
                <w:color w:val="011A3C"/>
                <w:sz w:val="24"/>
                <w:szCs w:val="24"/>
              </w:rPr>
              <w:t>.</w:t>
            </w:r>
          </w:p>
          <w:p w:rsidR="00217B36" w:rsidRPr="00217B36" w:rsidRDefault="00217B36" w:rsidP="005B1AD6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17B36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Electronic Consent</w:t>
            </w:r>
            <w:r w:rsidRPr="00217B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17B36">
              <w:rPr>
                <w:rStyle w:val="apple-converted-space"/>
                <w:rFonts w:asciiTheme="minorHAnsi" w:eastAsiaTheme="majorEastAsia" w:hAnsiTheme="minorHAnsi" w:cstheme="minorHAnsi"/>
                <w:sz w:val="24"/>
                <w:szCs w:val="24"/>
              </w:rPr>
              <w:t> </w:t>
            </w:r>
            <w:r w:rsidRPr="00217B36">
              <w:rPr>
                <w:rStyle w:val="relative"/>
                <w:rFonts w:asciiTheme="minorHAnsi" w:eastAsiaTheme="majorEastAsia" w:hAnsiTheme="minorHAnsi" w:cstheme="minorHAnsi"/>
                <w:sz w:val="24"/>
                <w:szCs w:val="24"/>
              </w:rPr>
              <w:t xml:space="preserve">If using electronic methods, implement measures to verify the identity of the consenting parent or </w:t>
            </w:r>
            <w:proofErr w:type="spellStart"/>
            <w:r w:rsidRPr="00217B36">
              <w:rPr>
                <w:rStyle w:val="relative"/>
                <w:rFonts w:asciiTheme="minorHAnsi" w:eastAsiaTheme="majorEastAsia" w:hAnsiTheme="minorHAnsi" w:cstheme="minorHAnsi"/>
                <w:sz w:val="24"/>
                <w:szCs w:val="24"/>
              </w:rPr>
              <w:t>carer</w:t>
            </w:r>
            <w:proofErr w:type="spellEnd"/>
            <w:r w:rsidRPr="00217B36">
              <w:rPr>
                <w:rStyle w:val="relative"/>
                <w:rFonts w:asciiTheme="minorHAnsi" w:eastAsiaTheme="majorEastAsia" w:hAnsiTheme="minorHAnsi" w:cstheme="minorHAnsi"/>
                <w:sz w:val="24"/>
                <w:szCs w:val="24"/>
              </w:rPr>
              <w:t>.</w:t>
            </w:r>
            <w:r w:rsidRPr="00217B36">
              <w:rPr>
                <w:rStyle w:val="apple-converted-space"/>
                <w:rFonts w:asciiTheme="minorHAnsi" w:eastAsiaTheme="majorEastAsia" w:hAnsiTheme="minorHAnsi" w:cstheme="minorHAnsi"/>
                <w:sz w:val="24"/>
                <w:szCs w:val="24"/>
              </w:rPr>
              <w:t> </w:t>
            </w:r>
            <w:hyperlink r:id="rId9" w:tgtFrame="_blank" w:history="1">
              <w:r w:rsidRPr="00217B36">
                <w:rPr>
                  <w:rStyle w:val="max-w-full"/>
                  <w:rFonts w:asciiTheme="minorHAnsi" w:hAnsiTheme="minorHAnsi" w:cstheme="minorHAnsi"/>
                  <w:color w:val="0000FF"/>
                  <w:sz w:val="24"/>
                  <w:szCs w:val="24"/>
                  <w:u w:val="single"/>
                </w:rPr>
                <w:t>www2.educ</w:t>
              </w:r>
              <w:r w:rsidRPr="00217B36">
                <w:rPr>
                  <w:rStyle w:val="max-w-full"/>
                  <w:rFonts w:asciiTheme="minorHAnsi" w:hAnsiTheme="minorHAnsi" w:cstheme="minorHAnsi"/>
                  <w:color w:val="0000FF"/>
                  <w:sz w:val="24"/>
                  <w:szCs w:val="24"/>
                  <w:u w:val="single"/>
                </w:rPr>
                <w:t>a</w:t>
              </w:r>
              <w:r w:rsidRPr="00217B36">
                <w:rPr>
                  <w:rStyle w:val="max-w-full"/>
                  <w:rFonts w:asciiTheme="minorHAnsi" w:hAnsiTheme="minorHAnsi" w:cstheme="minorHAnsi"/>
                  <w:color w:val="0000FF"/>
                  <w:sz w:val="24"/>
                  <w:szCs w:val="24"/>
                  <w:u w:val="single"/>
                </w:rPr>
                <w:t>tion.vic.gov.au</w:t>
              </w:r>
            </w:hyperlink>
          </w:p>
        </w:tc>
      </w:tr>
      <w:tr w:rsidR="00217B36" w:rsidRPr="00217B36" w:rsidTr="00217B36">
        <w:tc>
          <w:tcPr>
            <w:tcW w:w="1838" w:type="dxa"/>
          </w:tcPr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>1 week before</w:t>
            </w:r>
          </w:p>
        </w:tc>
        <w:tc>
          <w:tcPr>
            <w:tcW w:w="7172" w:type="dxa"/>
          </w:tcPr>
          <w:p w:rsidR="00217B36" w:rsidRPr="00217B36" w:rsidRDefault="00DA1B2F" w:rsidP="00217B3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217B36">
              <w:rPr>
                <w:rFonts w:cstheme="minorHAnsi"/>
                <w:sz w:val="24"/>
                <w:szCs w:val="24"/>
              </w:rPr>
              <w:t>Organise</w:t>
            </w:r>
            <w:proofErr w:type="spellEnd"/>
            <w:r w:rsidRPr="00217B36">
              <w:rPr>
                <w:rFonts w:cstheme="minorHAnsi"/>
                <w:sz w:val="24"/>
                <w:szCs w:val="24"/>
              </w:rPr>
              <w:t xml:space="preserve"> emergency contacts, print risk assessments</w:t>
            </w:r>
            <w:r w:rsidR="00217B36" w:rsidRPr="00217B36">
              <w:rPr>
                <w:rFonts w:cstheme="minorHAnsi"/>
                <w:sz w:val="24"/>
                <w:szCs w:val="24"/>
              </w:rPr>
              <w:t xml:space="preserve"> </w:t>
            </w:r>
            <w:hyperlink r:id="rId10" w:tgtFrame="_blank" w:history="1">
              <w:r w:rsidR="00217B36"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  <w:r w:rsidR="00217B36"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+7</w:t>
              </w:r>
              <w:r w:rsidR="00217B36"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  <w:r w:rsidR="00217B36"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+7</w:t>
              </w:r>
              <w:r w:rsidR="00217B36"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education.vic.gov.au</w:t>
              </w:r>
              <w:r w:rsidR="00217B36" w:rsidRPr="00217B36">
                <w:rPr>
                  <w:rStyle w:val="-me-1"/>
                  <w:rFonts w:cstheme="minorHAnsi"/>
                  <w:color w:val="0000FF"/>
                  <w:sz w:val="24"/>
                  <w:szCs w:val="24"/>
                  <w:u w:val="single"/>
                </w:rPr>
                <w:t>+7</w:t>
              </w:r>
            </w:hyperlink>
          </w:p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br/>
              <w:t>- Confirm details with ACMI and transport provider</w:t>
            </w:r>
            <w:r w:rsidRPr="00217B36">
              <w:rPr>
                <w:rFonts w:cstheme="minorHAnsi"/>
                <w:sz w:val="24"/>
                <w:szCs w:val="24"/>
              </w:rPr>
              <w:br/>
              <w:t xml:space="preserve">- Prepare and </w:t>
            </w:r>
            <w:proofErr w:type="spellStart"/>
            <w:r w:rsidRPr="00217B36">
              <w:rPr>
                <w:rFonts w:cstheme="minorHAnsi"/>
                <w:sz w:val="24"/>
                <w:szCs w:val="24"/>
              </w:rPr>
              <w:t>organise</w:t>
            </w:r>
            <w:proofErr w:type="spellEnd"/>
            <w:r w:rsidRPr="00217B36">
              <w:rPr>
                <w:rFonts w:cstheme="minorHAnsi"/>
                <w:sz w:val="24"/>
                <w:szCs w:val="24"/>
              </w:rPr>
              <w:t xml:space="preserve"> printed materials and student info folders</w:t>
            </w:r>
          </w:p>
          <w:p w:rsidR="00217B36" w:rsidRPr="00217B36" w:rsidRDefault="00217B36" w:rsidP="005B1AD6">
            <w:pPr>
              <w:rPr>
                <w:rFonts w:cstheme="minorHAnsi"/>
                <w:sz w:val="24"/>
                <w:szCs w:val="24"/>
              </w:rPr>
            </w:pPr>
          </w:p>
          <w:p w:rsidR="00217B36" w:rsidRPr="00217B36" w:rsidRDefault="00217B36" w:rsidP="005B1AD6">
            <w:pPr>
              <w:rPr>
                <w:rFonts w:eastAsia="Times New Roman" w:cstheme="minorHAnsi"/>
                <w:sz w:val="24"/>
                <w:szCs w:val="24"/>
              </w:rPr>
            </w:pPr>
            <w:r w:rsidRPr="00566A58">
              <w:rPr>
                <w:rFonts w:eastAsia="Times New Roman" w:cstheme="minorHAnsi"/>
                <w:sz w:val="24"/>
                <w:szCs w:val="24"/>
              </w:rPr>
              <w:lastRenderedPageBreak/>
              <w:fldChar w:fldCharType="begin"/>
            </w:r>
            <w:r w:rsidRPr="00566A58">
              <w:rPr>
                <w:rFonts w:eastAsia="Times New Roman" w:cstheme="minorHAnsi"/>
                <w:sz w:val="24"/>
                <w:szCs w:val="24"/>
              </w:rPr>
              <w:instrText xml:space="preserve"> INCLUDEPICTURE "/var/folders/pm/dvr75h0974v6nzw1wbgrgx0m0000gn/T/com.microsoft.Word/WebArchiveCopyPasteTempFiles/38397651.jpg" \* MERGEFORMATINET </w:instrText>
            </w:r>
            <w:r w:rsidRPr="00566A58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17B36">
              <w:rPr>
                <w:rFonts w:eastAsia="Times New Roman" w:cstheme="minorHAnsi"/>
                <w:noProof/>
                <w:sz w:val="24"/>
                <w:szCs w:val="24"/>
              </w:rPr>
              <w:drawing>
                <wp:inline distT="0" distB="0" distL="0" distR="0" wp14:anchorId="0608755A" wp14:editId="0D8ABBAA">
                  <wp:extent cx="2889021" cy="4095235"/>
                  <wp:effectExtent l="0" t="0" r="0" b="0"/>
                  <wp:docPr id="5" name="Picture 5" descr="Fact sheet School excursions and risk management - Museum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ct sheet School excursions and risk management - Museum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388" cy="410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A58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  <w:p w:rsidR="00217B36" w:rsidRPr="00217B36" w:rsidRDefault="00217B36" w:rsidP="005B1AD6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217B36" w:rsidRPr="00217B36" w:rsidRDefault="00217B36" w:rsidP="005B1AD6">
            <w:pPr>
              <w:rPr>
                <w:rFonts w:eastAsia="Times New Roman" w:cstheme="minorHAnsi"/>
                <w:sz w:val="24"/>
                <w:szCs w:val="24"/>
              </w:rPr>
            </w:pPr>
            <w:r w:rsidRPr="00217B36">
              <w:rPr>
                <w:rFonts w:eastAsia="Times New Roman" w:cstheme="minorHAnsi"/>
                <w:sz w:val="24"/>
                <w:szCs w:val="24"/>
              </w:rPr>
              <w:t xml:space="preserve">For example; </w:t>
            </w:r>
          </w:p>
          <w:p w:rsidR="00217B36" w:rsidRPr="00217B36" w:rsidRDefault="00217B36" w:rsidP="005B1AD6">
            <w:pPr>
              <w:rPr>
                <w:rFonts w:eastAsia="Times New Roman" w:cstheme="minorHAnsi"/>
                <w:sz w:val="24"/>
                <w:szCs w:val="24"/>
              </w:rPr>
            </w:pPr>
            <w:r w:rsidRPr="00566A58"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 w:rsidRPr="00566A58">
              <w:rPr>
                <w:rFonts w:eastAsia="Times New Roman" w:cstheme="minorHAnsi"/>
                <w:sz w:val="24"/>
                <w:szCs w:val="24"/>
              </w:rPr>
              <w:instrText xml:space="preserve"> INCLUDEPICTURE "/var/folders/pm/dvr75h0974v6nzw1wbgrgx0m0000gn/T/com.microsoft.Word/WebArchiveCopyPasteTempFiles/9f4301b52202ca7d45807e5df2c78018.png" \* MERGEFORMATINET </w:instrText>
            </w:r>
            <w:r w:rsidRPr="00566A58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217B36">
              <w:rPr>
                <w:rFonts w:eastAsia="Times New Roman" w:cstheme="minorHAnsi"/>
                <w:noProof/>
                <w:sz w:val="24"/>
                <w:szCs w:val="24"/>
              </w:rPr>
              <w:drawing>
                <wp:inline distT="0" distB="0" distL="0" distR="0" wp14:anchorId="594CEDD8" wp14:editId="774D6F47">
                  <wp:extent cx="2428446" cy="1965910"/>
                  <wp:effectExtent l="0" t="0" r="0" b="3175"/>
                  <wp:docPr id="1" name="Picture 1" descr="Risk Management Plan for an Overseas School Group Trip - S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k Management Plan for an Overseas School Group Trip - S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34" cy="197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A58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  <w:p w:rsidR="00217B36" w:rsidRPr="00217B36" w:rsidRDefault="00217B36" w:rsidP="005B1AD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7B36" w:rsidRPr="00217B36" w:rsidTr="00217B36">
        <w:tc>
          <w:tcPr>
            <w:tcW w:w="1838" w:type="dxa"/>
          </w:tcPr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lastRenderedPageBreak/>
              <w:t>Day before</w:t>
            </w:r>
          </w:p>
        </w:tc>
        <w:tc>
          <w:tcPr>
            <w:tcW w:w="7172" w:type="dxa"/>
          </w:tcPr>
          <w:p w:rsidR="00DA1B2F" w:rsidRPr="00217B36" w:rsidRDefault="00DA1B2F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Fonts w:cstheme="minorHAnsi"/>
                <w:sz w:val="24"/>
                <w:szCs w:val="24"/>
              </w:rPr>
              <w:t>- Check and pack first aid kits</w:t>
            </w:r>
            <w:r w:rsidRPr="00217B36">
              <w:rPr>
                <w:rFonts w:cstheme="minorHAnsi"/>
                <w:sz w:val="24"/>
                <w:szCs w:val="24"/>
              </w:rPr>
              <w:br/>
              <w:t>- Print all final documents and emergency contact lists</w:t>
            </w:r>
            <w:r w:rsidRPr="00217B36">
              <w:rPr>
                <w:rFonts w:cstheme="minorHAnsi"/>
                <w:sz w:val="24"/>
                <w:szCs w:val="24"/>
              </w:rPr>
              <w:br/>
              <w:t xml:space="preserve">- Remind students of </w:t>
            </w:r>
            <w:proofErr w:type="spellStart"/>
            <w:r w:rsidRPr="00217B36">
              <w:rPr>
                <w:rFonts w:cstheme="minorHAnsi"/>
                <w:sz w:val="24"/>
                <w:szCs w:val="24"/>
              </w:rPr>
              <w:t>behaviour</w:t>
            </w:r>
            <w:proofErr w:type="spellEnd"/>
            <w:r w:rsidRPr="00217B36">
              <w:rPr>
                <w:rFonts w:cstheme="minorHAnsi"/>
                <w:sz w:val="24"/>
                <w:szCs w:val="24"/>
              </w:rPr>
              <w:t xml:space="preserve"> expectations and excursion logistics</w:t>
            </w:r>
          </w:p>
          <w:p w:rsidR="00217B36" w:rsidRPr="00217B36" w:rsidRDefault="00217B36" w:rsidP="005B1AD6">
            <w:pPr>
              <w:rPr>
                <w:rFonts w:cstheme="minorHAnsi"/>
                <w:sz w:val="24"/>
                <w:szCs w:val="24"/>
              </w:rPr>
            </w:pPr>
            <w:r w:rsidRPr="00217B36">
              <w:rPr>
                <w:rStyle w:val="apple-converted-space"/>
                <w:rFonts w:cstheme="minorHAnsi"/>
                <w:sz w:val="24"/>
                <w:szCs w:val="24"/>
              </w:rPr>
              <w:t> </w:t>
            </w:r>
            <w:hyperlink r:id="rId13" w:tgtFrame="_blank" w:history="1">
              <w:r w:rsidRPr="00217B36">
                <w:rPr>
                  <w:rStyle w:val="max-w-full"/>
                  <w:rFonts w:cstheme="minorHAnsi"/>
                  <w:color w:val="0000FF"/>
                  <w:sz w:val="24"/>
                  <w:szCs w:val="24"/>
                  <w:u w:val="single"/>
                </w:rPr>
                <w:t>www2.education.vic.gov.au</w:t>
              </w:r>
            </w:hyperlink>
          </w:p>
        </w:tc>
      </w:tr>
    </w:tbl>
    <w:p w:rsidR="00DA1B2F" w:rsidRPr="00217B36" w:rsidRDefault="00DA1B2F" w:rsidP="00DA1B2F">
      <w:pPr>
        <w:rPr>
          <w:rFonts w:cstheme="minorHAnsi"/>
        </w:rPr>
      </w:pPr>
    </w:p>
    <w:p w:rsidR="00DA1B2F" w:rsidRPr="00217B36" w:rsidRDefault="00DA1B2F" w:rsidP="00566A58">
      <w:pPr>
        <w:pStyle w:val="NormalWeb"/>
        <w:rPr>
          <w:rFonts w:asciiTheme="minorHAnsi" w:hAnsiTheme="minorHAnsi" w:cstheme="minorHAnsi"/>
        </w:rPr>
      </w:pPr>
    </w:p>
    <w:p w:rsidR="00566A58" w:rsidRDefault="00566A58" w:rsidP="00566A58">
      <w:bookmarkStart w:id="0" w:name="_GoBack"/>
      <w:bookmarkEnd w:id="0"/>
    </w:p>
    <w:p w:rsidR="00566A58" w:rsidRDefault="00566A58" w:rsidP="00566A58"/>
    <w:p w:rsidR="00362B70" w:rsidRDefault="00566A58" w:rsidP="00217B36">
      <w:pPr>
        <w:pStyle w:val="Heading2"/>
      </w:pPr>
      <w:r>
        <w:lastRenderedPageBreak/>
        <w:t xml:space="preserve"> </w:t>
      </w:r>
    </w:p>
    <w:p w:rsidR="00566A58" w:rsidRDefault="00566A58" w:rsidP="00566A58"/>
    <w:p w:rsidR="00566A58" w:rsidRDefault="00566A58" w:rsidP="00566A58"/>
    <w:p w:rsidR="00566A58" w:rsidRDefault="00566A58" w:rsidP="00566A58"/>
    <w:p w:rsidR="00362B70" w:rsidRDefault="00362B70" w:rsidP="00566A58">
      <w:pPr>
        <w:pStyle w:val="Heading2"/>
        <w:rPr>
          <w:rFonts w:ascii="Apple Color Emoji" w:hAnsi="Apple Color Emoji" w:cs="Apple Color Emoji"/>
        </w:rPr>
      </w:pPr>
    </w:p>
    <w:p w:rsidR="00566A58" w:rsidRDefault="00566A58" w:rsidP="00566A58">
      <w:pPr>
        <w:rPr>
          <w:rFonts w:ascii="Times New Roman" w:eastAsia="Times New Roman" w:hAnsi="Times New Roman" w:cs="Times New Roman"/>
        </w:rPr>
      </w:pPr>
    </w:p>
    <w:p w:rsidR="00566A58" w:rsidRPr="00566A58" w:rsidRDefault="00566A58" w:rsidP="00566A58">
      <w:pPr>
        <w:rPr>
          <w:rFonts w:ascii="Times New Roman" w:eastAsia="Times New Roman" w:hAnsi="Times New Roman" w:cs="Times New Roman"/>
        </w:rPr>
      </w:pPr>
    </w:p>
    <w:p w:rsidR="00566A58" w:rsidRPr="00566A58" w:rsidRDefault="00566A58" w:rsidP="00566A58">
      <w:pPr>
        <w:rPr>
          <w:rFonts w:ascii="Times New Roman" w:eastAsia="Times New Roman" w:hAnsi="Times New Roman" w:cs="Times New Roman"/>
        </w:rPr>
      </w:pPr>
    </w:p>
    <w:p w:rsidR="00E44607" w:rsidRDefault="00E44607"/>
    <w:p w:rsidR="00566A58" w:rsidRDefault="00566A58"/>
    <w:p w:rsidR="00566A58" w:rsidRDefault="00566A58"/>
    <w:p w:rsidR="00566A58" w:rsidRDefault="00566A58"/>
    <w:p w:rsidR="00566A58" w:rsidRPr="00566A58" w:rsidRDefault="00566A58" w:rsidP="00566A58">
      <w:pPr>
        <w:rPr>
          <w:rFonts w:ascii="Times New Roman" w:eastAsia="Times New Roman" w:hAnsi="Times New Roman" w:cs="Times New Roman"/>
        </w:rPr>
      </w:pPr>
    </w:p>
    <w:p w:rsidR="00566A58" w:rsidRDefault="00566A58"/>
    <w:sectPr w:rsidR="00566A58" w:rsidSect="0003677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D1E"/>
    <w:multiLevelType w:val="multilevel"/>
    <w:tmpl w:val="0B78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B62E0"/>
    <w:multiLevelType w:val="multilevel"/>
    <w:tmpl w:val="CDA6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E3DEB"/>
    <w:multiLevelType w:val="multilevel"/>
    <w:tmpl w:val="3958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D709E"/>
    <w:multiLevelType w:val="multilevel"/>
    <w:tmpl w:val="4E70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0C64"/>
    <w:multiLevelType w:val="multilevel"/>
    <w:tmpl w:val="21C4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1376"/>
    <w:multiLevelType w:val="multilevel"/>
    <w:tmpl w:val="3958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824AE"/>
    <w:multiLevelType w:val="multilevel"/>
    <w:tmpl w:val="B56E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6632C"/>
    <w:multiLevelType w:val="multilevel"/>
    <w:tmpl w:val="925E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A4B0E"/>
    <w:multiLevelType w:val="multilevel"/>
    <w:tmpl w:val="14D6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E4624"/>
    <w:multiLevelType w:val="multilevel"/>
    <w:tmpl w:val="0770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76188"/>
    <w:multiLevelType w:val="multilevel"/>
    <w:tmpl w:val="EB9A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70C2B"/>
    <w:multiLevelType w:val="multilevel"/>
    <w:tmpl w:val="23BE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65615"/>
    <w:multiLevelType w:val="multilevel"/>
    <w:tmpl w:val="6B94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76A6B"/>
    <w:multiLevelType w:val="multilevel"/>
    <w:tmpl w:val="C628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C5A35"/>
    <w:multiLevelType w:val="multilevel"/>
    <w:tmpl w:val="DF2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230D2"/>
    <w:multiLevelType w:val="multilevel"/>
    <w:tmpl w:val="49B4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31799"/>
    <w:multiLevelType w:val="multilevel"/>
    <w:tmpl w:val="DA0A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81B53"/>
    <w:multiLevelType w:val="multilevel"/>
    <w:tmpl w:val="DF8E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D7838"/>
    <w:multiLevelType w:val="multilevel"/>
    <w:tmpl w:val="BE52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330EF4"/>
    <w:multiLevelType w:val="multilevel"/>
    <w:tmpl w:val="968A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1D49FB"/>
    <w:multiLevelType w:val="multilevel"/>
    <w:tmpl w:val="B3C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00310"/>
    <w:multiLevelType w:val="multilevel"/>
    <w:tmpl w:val="7980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19"/>
  </w:num>
  <w:num w:numId="10">
    <w:abstractNumId w:val="17"/>
  </w:num>
  <w:num w:numId="11">
    <w:abstractNumId w:val="16"/>
  </w:num>
  <w:num w:numId="12">
    <w:abstractNumId w:val="13"/>
  </w:num>
  <w:num w:numId="13">
    <w:abstractNumId w:val="11"/>
  </w:num>
  <w:num w:numId="14">
    <w:abstractNumId w:val="21"/>
  </w:num>
  <w:num w:numId="15">
    <w:abstractNumId w:val="18"/>
  </w:num>
  <w:num w:numId="16">
    <w:abstractNumId w:val="0"/>
  </w:num>
  <w:num w:numId="17">
    <w:abstractNumId w:val="10"/>
  </w:num>
  <w:num w:numId="18">
    <w:abstractNumId w:val="20"/>
  </w:num>
  <w:num w:numId="19">
    <w:abstractNumId w:val="15"/>
  </w:num>
  <w:num w:numId="20">
    <w:abstractNumId w:val="8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31"/>
    <w:rsid w:val="00036779"/>
    <w:rsid w:val="00217B36"/>
    <w:rsid w:val="002B6878"/>
    <w:rsid w:val="00362B70"/>
    <w:rsid w:val="0043721A"/>
    <w:rsid w:val="004A0109"/>
    <w:rsid w:val="0053699F"/>
    <w:rsid w:val="00566A58"/>
    <w:rsid w:val="00705446"/>
    <w:rsid w:val="007530A1"/>
    <w:rsid w:val="007C3DE2"/>
    <w:rsid w:val="007F1F31"/>
    <w:rsid w:val="008941E7"/>
    <w:rsid w:val="00AE3B96"/>
    <w:rsid w:val="00AF2F04"/>
    <w:rsid w:val="00D21B56"/>
    <w:rsid w:val="00DA1B2F"/>
    <w:rsid w:val="00E25CA8"/>
    <w:rsid w:val="00E44607"/>
    <w:rsid w:val="00F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955DE"/>
  <w15:chartTrackingRefBased/>
  <w15:docId w15:val="{BE440E44-9814-4A42-A4DE-2F2C667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B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1F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B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A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A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1F3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F1F31"/>
    <w:rPr>
      <w:b/>
      <w:bCs/>
    </w:rPr>
  </w:style>
  <w:style w:type="paragraph" w:styleId="NormalWeb">
    <w:name w:val="Normal (Web)"/>
    <w:basedOn w:val="Normal"/>
    <w:uiPriority w:val="99"/>
    <w:unhideWhenUsed/>
    <w:rsid w:val="007F1F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lative">
    <w:name w:val="relative"/>
    <w:basedOn w:val="DefaultParagraphFont"/>
    <w:rsid w:val="007F1F31"/>
  </w:style>
  <w:style w:type="character" w:customStyle="1" w:styleId="Heading2Char">
    <w:name w:val="Heading 2 Char"/>
    <w:basedOn w:val="DefaultParagraphFont"/>
    <w:link w:val="Heading2"/>
    <w:uiPriority w:val="9"/>
    <w:rsid w:val="00566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A5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A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DefaultParagraphFont"/>
    <w:rsid w:val="00566A58"/>
  </w:style>
  <w:style w:type="character" w:customStyle="1" w:styleId="ms-1">
    <w:name w:val="ms-1"/>
    <w:basedOn w:val="DefaultParagraphFont"/>
    <w:rsid w:val="00566A58"/>
  </w:style>
  <w:style w:type="character" w:customStyle="1" w:styleId="max-w-full">
    <w:name w:val="max-w-full"/>
    <w:basedOn w:val="DefaultParagraphFont"/>
    <w:rsid w:val="00566A58"/>
  </w:style>
  <w:style w:type="character" w:customStyle="1" w:styleId="-me-1">
    <w:name w:val="-me-1"/>
    <w:basedOn w:val="DefaultParagraphFont"/>
    <w:rsid w:val="00566A58"/>
  </w:style>
  <w:style w:type="character" w:customStyle="1" w:styleId="overflow-hidden">
    <w:name w:val="overflow-hidden"/>
    <w:basedOn w:val="DefaultParagraphFont"/>
    <w:rsid w:val="00566A58"/>
  </w:style>
  <w:style w:type="character" w:customStyle="1" w:styleId="rpl-text-label">
    <w:name w:val="rpl-text-label"/>
    <w:basedOn w:val="DefaultParagraphFont"/>
    <w:rsid w:val="00362B70"/>
  </w:style>
  <w:style w:type="character" w:customStyle="1" w:styleId="rpl-text-icongroup">
    <w:name w:val="rpl-text-icon__group"/>
    <w:basedOn w:val="DefaultParagraphFont"/>
    <w:rsid w:val="00362B70"/>
  </w:style>
  <w:style w:type="paragraph" w:styleId="ListParagraph">
    <w:name w:val="List Paragraph"/>
    <w:basedOn w:val="Normal"/>
    <w:uiPriority w:val="34"/>
    <w:qFormat/>
    <w:rsid w:val="00362B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62B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A1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A1B2F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9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42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823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0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1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5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9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8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65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91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9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436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8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57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04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sdp.education.vic.gov.au/media/1513" TargetMode="External"/><Relationship Id="rId13" Type="http://schemas.openxmlformats.org/officeDocument/2006/relationships/hyperlink" Target="https://www2.education.vic.gov.au/pal/excursions/guidance/student-preparation-and-behaviour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education.vic.gov.au/pal/excursions/guidance/student-medical-information?utm_source=chatgpt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education.vic.gov.au/pal/excursions/guidance/student-activity-locator?utm_source=chatgpt.com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2.education.vic.gov.au/pal/excursions/resources?utm_source=chatgp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2.education.vic.gov.au/pal/excursions/guidance/risk-management-planning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excursions/guidance/consent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Hi Lee</dc:creator>
  <cp:keywords/>
  <dc:description/>
  <cp:lastModifiedBy>Seung Hi Lee</cp:lastModifiedBy>
  <cp:revision>1</cp:revision>
  <dcterms:created xsi:type="dcterms:W3CDTF">2025-05-26T03:02:00Z</dcterms:created>
  <dcterms:modified xsi:type="dcterms:W3CDTF">2025-05-26T05:26:00Z</dcterms:modified>
</cp:coreProperties>
</file>